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7C39" w14:textId="23A9DF94" w:rsidR="00FA1986" w:rsidRPr="004A75EF" w:rsidRDefault="1A3F036E" w:rsidP="004A75EF">
      <w:pPr>
        <w:shd w:val="clear" w:color="auto" w:fill="FFFFFF" w:themeFill="background1"/>
        <w:spacing w:after="0" w:line="240" w:lineRule="auto"/>
        <w:outlineLvl w:val="2"/>
        <w:rPr>
          <w:rFonts w:ascii="Segoe UI" w:eastAsia="Segoe UI" w:hAnsi="Segoe UI" w:cs="Segoe UI"/>
          <w:color w:val="2D8700"/>
          <w:sz w:val="28"/>
          <w:szCs w:val="27"/>
        </w:rPr>
      </w:pPr>
      <w:r w:rsidRPr="004A75EF">
        <w:rPr>
          <w:rFonts w:ascii="Segoe UI" w:eastAsia="Segoe UI" w:hAnsi="Segoe UI" w:cs="Segoe UI"/>
          <w:color w:val="2D8700"/>
          <w:sz w:val="28"/>
          <w:szCs w:val="27"/>
        </w:rPr>
        <w:t>CSRS Stance on Indirect</w:t>
      </w:r>
      <w:r w:rsidR="7A193D06" w:rsidRPr="004A75EF">
        <w:rPr>
          <w:rFonts w:ascii="Segoe UI" w:eastAsia="Segoe UI" w:hAnsi="Segoe UI" w:cs="Segoe UI"/>
          <w:color w:val="2D8700"/>
          <w:sz w:val="28"/>
          <w:szCs w:val="27"/>
        </w:rPr>
        <w:t xml:space="preserve"> and </w:t>
      </w:r>
      <w:r w:rsidRPr="004A75EF">
        <w:rPr>
          <w:rFonts w:ascii="Segoe UI" w:eastAsia="Segoe UI" w:hAnsi="Segoe UI" w:cs="Segoe UI"/>
          <w:color w:val="2D8700"/>
          <w:sz w:val="28"/>
          <w:szCs w:val="27"/>
        </w:rPr>
        <w:t xml:space="preserve">Direct Costs </w:t>
      </w:r>
    </w:p>
    <w:p w14:paraId="46F3091B" w14:textId="5BA103ED" w:rsidR="004A75EF" w:rsidRPr="004A75EF" w:rsidRDefault="004A75EF" w:rsidP="004A75EF">
      <w:pPr>
        <w:shd w:val="clear" w:color="auto" w:fill="FFFFFF" w:themeFill="background1"/>
        <w:spacing w:after="0" w:line="240" w:lineRule="auto"/>
        <w:outlineLvl w:val="2"/>
        <w:rPr>
          <w:rFonts w:ascii="Segoe UI" w:eastAsia="Segoe UI" w:hAnsi="Segoe UI" w:cs="Segoe UI"/>
          <w:i/>
          <w:sz w:val="16"/>
          <w:szCs w:val="16"/>
        </w:rPr>
      </w:pPr>
      <w:r w:rsidRPr="004A75EF">
        <w:rPr>
          <w:rFonts w:ascii="Segoe UI" w:eastAsia="Segoe UI" w:hAnsi="Segoe UI" w:cs="Segoe UI"/>
          <w:i/>
          <w:sz w:val="16"/>
          <w:szCs w:val="16"/>
        </w:rPr>
        <w:t>Rev. 7/24 MW</w:t>
      </w:r>
    </w:p>
    <w:p w14:paraId="088B2E2B" w14:textId="4179B639" w:rsidR="00FA1986" w:rsidRPr="00FA1986" w:rsidRDefault="018F2695" w:rsidP="4D364DDC">
      <w:pPr>
        <w:shd w:val="clear" w:color="auto" w:fill="FFFFFF" w:themeFill="background1"/>
        <w:spacing w:before="300" w:after="150" w:line="240" w:lineRule="auto"/>
        <w:outlineLvl w:val="2"/>
        <w:rPr>
          <w:rFonts w:ascii="Segoe UI" w:eastAsia="Segoe UI" w:hAnsi="Segoe UI" w:cs="Segoe UI"/>
          <w:color w:val="2D8700"/>
          <w:sz w:val="27"/>
          <w:szCs w:val="27"/>
        </w:rPr>
      </w:pPr>
      <w:r w:rsidRPr="4D364DDC">
        <w:rPr>
          <w:rFonts w:ascii="Segoe UI" w:eastAsia="Segoe UI" w:hAnsi="Segoe UI" w:cs="Segoe UI"/>
          <w:color w:val="2D8700"/>
          <w:sz w:val="27"/>
          <w:szCs w:val="27"/>
        </w:rPr>
        <w:t>I</w:t>
      </w:r>
      <w:r w:rsidR="00FA1986" w:rsidRPr="4D364DDC">
        <w:rPr>
          <w:rFonts w:ascii="Segoe UI" w:eastAsia="Segoe UI" w:hAnsi="Segoe UI" w:cs="Segoe UI"/>
          <w:color w:val="2D8700"/>
          <w:sz w:val="27"/>
          <w:szCs w:val="27"/>
        </w:rPr>
        <w:t>ndirect costs</w:t>
      </w:r>
    </w:p>
    <w:p w14:paraId="4B222C37" w14:textId="7F1E5474" w:rsidR="065EC269" w:rsidRDefault="16351FA5" w:rsidP="4D364DDC">
      <w:pPr>
        <w:spacing w:after="150" w:line="240" w:lineRule="auto"/>
        <w:rPr>
          <w:rFonts w:ascii="Segoe UI" w:eastAsia="Segoe UI" w:hAnsi="Segoe UI" w:cs="Segoe UI"/>
          <w:color w:val="030A13"/>
          <w:sz w:val="21"/>
          <w:szCs w:val="21"/>
        </w:rPr>
      </w:pPr>
      <w:r w:rsidRPr="4D364DDC">
        <w:rPr>
          <w:rFonts w:ascii="Segoe UI" w:eastAsia="Segoe UI" w:hAnsi="Segoe UI" w:cs="Segoe UI"/>
        </w:rPr>
        <w:t>The U</w:t>
      </w:r>
      <w:r w:rsidR="030B6507" w:rsidRPr="4D364DDC">
        <w:rPr>
          <w:rFonts w:ascii="Segoe UI" w:eastAsia="Segoe UI" w:hAnsi="Segoe UI" w:cs="Segoe UI"/>
        </w:rPr>
        <w:t>.</w:t>
      </w:r>
      <w:r w:rsidRPr="4D364DDC">
        <w:rPr>
          <w:rFonts w:ascii="Segoe UI" w:eastAsia="Segoe UI" w:hAnsi="Segoe UI" w:cs="Segoe UI"/>
        </w:rPr>
        <w:t>S</w:t>
      </w:r>
      <w:r w:rsidR="4F706380" w:rsidRPr="4D364DDC">
        <w:rPr>
          <w:rFonts w:ascii="Segoe UI" w:eastAsia="Segoe UI" w:hAnsi="Segoe UI" w:cs="Segoe UI"/>
        </w:rPr>
        <w:t>.</w:t>
      </w:r>
      <w:r w:rsidRPr="4D364DDC">
        <w:rPr>
          <w:rFonts w:ascii="Segoe UI" w:eastAsia="Segoe UI" w:hAnsi="Segoe UI" w:cs="Segoe UI"/>
        </w:rPr>
        <w:t xml:space="preserve"> Department of Education, Office of the Chief Financial Officer</w:t>
      </w:r>
      <w:r w:rsidRPr="4D364DDC">
        <w:rPr>
          <w:rFonts w:ascii="Segoe UI" w:eastAsia="Segoe UI" w:hAnsi="Segoe UI" w:cs="Segoe UI"/>
          <w:color w:val="030A13"/>
          <w:sz w:val="21"/>
          <w:szCs w:val="21"/>
        </w:rPr>
        <w:t xml:space="preserve"> defines indirect costs as those that “</w:t>
      </w:r>
      <w:r w:rsidR="00FA1986" w:rsidRPr="4D364DDC">
        <w:rPr>
          <w:rFonts w:ascii="Segoe UI" w:eastAsia="Segoe UI" w:hAnsi="Segoe UI" w:cs="Segoe UI"/>
          <w:color w:val="030A13"/>
          <w:sz w:val="21"/>
          <w:szCs w:val="21"/>
        </w:rPr>
        <w:t>represent the expenses of doing business that are not readily identified with a particular grant, contract, project function or activity, but are necessary for the general operation of the organization and the conduct of activities it performs</w:t>
      </w:r>
      <w:r w:rsidR="52320853" w:rsidRPr="4D364DDC">
        <w:rPr>
          <w:rFonts w:ascii="Segoe UI" w:eastAsia="Segoe UI" w:hAnsi="Segoe UI" w:cs="Segoe UI"/>
          <w:color w:val="030A13"/>
          <w:sz w:val="21"/>
          <w:szCs w:val="21"/>
        </w:rPr>
        <w:t>” (</w:t>
      </w:r>
      <w:r w:rsidR="404EE369" w:rsidRPr="4D364DDC">
        <w:rPr>
          <w:rFonts w:ascii="Segoe UI" w:eastAsia="Segoe UI" w:hAnsi="Segoe UI" w:cs="Segoe UI"/>
          <w:color w:val="030A13"/>
          <w:sz w:val="21"/>
          <w:szCs w:val="21"/>
        </w:rPr>
        <w:t>2020</w:t>
      </w:r>
      <w:r w:rsidR="52320853" w:rsidRPr="4D364DDC">
        <w:rPr>
          <w:rFonts w:ascii="Segoe UI" w:eastAsia="Segoe UI" w:hAnsi="Segoe UI" w:cs="Segoe UI"/>
          <w:color w:val="030A13"/>
          <w:sz w:val="21"/>
          <w:szCs w:val="21"/>
        </w:rPr>
        <w:t>)</w:t>
      </w:r>
      <w:r w:rsidR="00FA1986" w:rsidRPr="4D364DDC">
        <w:rPr>
          <w:rFonts w:ascii="Segoe UI" w:eastAsia="Segoe UI" w:hAnsi="Segoe UI" w:cs="Segoe UI"/>
          <w:color w:val="030A13"/>
          <w:sz w:val="21"/>
          <w:szCs w:val="21"/>
        </w:rPr>
        <w:t xml:space="preserve">. </w:t>
      </w:r>
    </w:p>
    <w:p w14:paraId="7F4E0BC9" w14:textId="0959017D" w:rsidR="5247EF84" w:rsidRDefault="5247EF84" w:rsidP="4D364DDC">
      <w:pPr>
        <w:shd w:val="clear" w:color="auto" w:fill="FFFFFF" w:themeFill="background1"/>
        <w:spacing w:before="300" w:after="150" w:line="240" w:lineRule="auto"/>
        <w:outlineLvl w:val="2"/>
        <w:rPr>
          <w:rFonts w:ascii="Segoe UI" w:eastAsia="Segoe UI" w:hAnsi="Segoe UI" w:cs="Segoe UI"/>
          <w:color w:val="2D8700"/>
          <w:sz w:val="27"/>
          <w:szCs w:val="27"/>
        </w:rPr>
      </w:pPr>
      <w:r w:rsidRPr="4D364DDC">
        <w:rPr>
          <w:rFonts w:ascii="Segoe UI" w:eastAsia="Segoe UI" w:hAnsi="Segoe UI" w:cs="Segoe UI"/>
          <w:color w:val="2D8700"/>
          <w:sz w:val="27"/>
          <w:szCs w:val="27"/>
        </w:rPr>
        <w:t>Direct costs</w:t>
      </w:r>
    </w:p>
    <w:p w14:paraId="6D06700E" w14:textId="44C98B45" w:rsidR="00FA1986" w:rsidRPr="00FA1986" w:rsidRDefault="5F6076C3" w:rsidP="4D364DDC">
      <w:pPr>
        <w:shd w:val="clear" w:color="auto" w:fill="FFFFFF" w:themeFill="background1"/>
        <w:spacing w:after="150" w:line="240" w:lineRule="auto"/>
        <w:rPr>
          <w:rFonts w:ascii="Segoe UI" w:eastAsia="Segoe UI" w:hAnsi="Segoe UI" w:cs="Segoe UI"/>
          <w:sz w:val="21"/>
          <w:szCs w:val="21"/>
        </w:rPr>
      </w:pPr>
      <w:r w:rsidRPr="4D364DDC">
        <w:rPr>
          <w:rFonts w:ascii="Segoe UI" w:eastAsia="Segoe UI" w:hAnsi="Segoe UI" w:cs="Segoe UI"/>
          <w:color w:val="030A13"/>
          <w:sz w:val="21"/>
          <w:szCs w:val="21"/>
        </w:rPr>
        <w:t xml:space="preserve">The </w:t>
      </w:r>
      <w:r w:rsidR="38B3BCCF" w:rsidRPr="4D364DDC">
        <w:rPr>
          <w:rFonts w:ascii="Segoe UI" w:eastAsia="Segoe UI" w:hAnsi="Segoe UI" w:cs="Segoe UI"/>
          <w:color w:val="030A13"/>
          <w:sz w:val="21"/>
          <w:szCs w:val="21"/>
        </w:rPr>
        <w:t xml:space="preserve">NIH Grants Policy Statement </w:t>
      </w:r>
      <w:r w:rsidR="23721673" w:rsidRPr="4D364DDC">
        <w:rPr>
          <w:rFonts w:ascii="Segoe UI" w:eastAsia="Segoe UI" w:hAnsi="Segoe UI" w:cs="Segoe UI"/>
          <w:color w:val="030A13"/>
          <w:sz w:val="21"/>
          <w:szCs w:val="21"/>
        </w:rPr>
        <w:t xml:space="preserve">from the U.S. Department of Health and Human Services </w:t>
      </w:r>
      <w:r w:rsidR="38B3BCCF" w:rsidRPr="4D364DDC">
        <w:rPr>
          <w:rFonts w:ascii="Segoe UI" w:eastAsia="Segoe UI" w:hAnsi="Segoe UI" w:cs="Segoe UI"/>
          <w:color w:val="030A13"/>
          <w:sz w:val="21"/>
          <w:szCs w:val="21"/>
        </w:rPr>
        <w:t>defines a direct cost as “</w:t>
      </w:r>
      <w:r w:rsidR="38B3BCCF" w:rsidRPr="4D364DDC">
        <w:rPr>
          <w:rFonts w:ascii="Segoe UI" w:eastAsia="Segoe UI" w:hAnsi="Segoe UI" w:cs="Segoe UI"/>
          <w:color w:val="000000" w:themeColor="text1"/>
          <w:sz w:val="21"/>
          <w:szCs w:val="21"/>
        </w:rPr>
        <w:t>any cost that can be specifically identified with a particular project, program, or activity or that can be directly assigned to such activities relatively easily and with a high degree of accuracy.</w:t>
      </w:r>
      <w:r w:rsidR="371FAD1C" w:rsidRPr="4D364DDC">
        <w:rPr>
          <w:rFonts w:ascii="Segoe UI" w:eastAsia="Segoe UI" w:hAnsi="Segoe UI" w:cs="Segoe UI"/>
          <w:color w:val="000000" w:themeColor="text1"/>
          <w:sz w:val="21"/>
          <w:szCs w:val="21"/>
        </w:rPr>
        <w:t>”</w:t>
      </w:r>
      <w:r w:rsidR="38B3BCCF" w:rsidRPr="4D364DD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137D8034" w14:textId="40888A3A" w:rsidR="00FA1986" w:rsidRPr="00FA1986" w:rsidRDefault="75837E82" w:rsidP="4D364DDC">
      <w:pPr>
        <w:shd w:val="clear" w:color="auto" w:fill="FFFFFF" w:themeFill="background1"/>
        <w:spacing w:after="150" w:line="240" w:lineRule="auto"/>
        <w:rPr>
          <w:rFonts w:ascii="Segoe UI" w:eastAsia="Segoe UI" w:hAnsi="Segoe UI" w:cs="Segoe UI"/>
          <w:color w:val="030A13"/>
          <w:sz w:val="21"/>
          <w:szCs w:val="21"/>
        </w:rPr>
      </w:pPr>
      <w:r w:rsidRPr="4D364DDC">
        <w:rPr>
          <w:rFonts w:ascii="Segoe UI" w:eastAsia="Segoe UI" w:hAnsi="Segoe UI" w:cs="Segoe UI"/>
          <w:color w:val="030A13"/>
          <w:sz w:val="21"/>
          <w:szCs w:val="21"/>
        </w:rPr>
        <w:t>CSRS identifies the following items as direct costs that may be funded using a CSRS grant</w:t>
      </w:r>
      <w:r w:rsidR="00FA1986" w:rsidRPr="4D364DDC">
        <w:rPr>
          <w:rFonts w:ascii="Segoe UI" w:eastAsia="Segoe UI" w:hAnsi="Segoe UI" w:cs="Segoe UI"/>
          <w:color w:val="030A13"/>
          <w:sz w:val="21"/>
          <w:szCs w:val="21"/>
        </w:rPr>
        <w:t>:</w:t>
      </w:r>
    </w:p>
    <w:p w14:paraId="50ABF5D3" w14:textId="243BC277" w:rsidR="00FA1986" w:rsidRPr="004A75EF" w:rsidRDefault="00FA1986" w:rsidP="4D364DDC">
      <w:pPr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ascii="Segoe UI" w:eastAsia="Segoe UI" w:hAnsi="Segoe UI" w:cs="Segoe UI"/>
          <w:i/>
          <w:color w:val="030A13"/>
          <w:sz w:val="21"/>
          <w:szCs w:val="21"/>
        </w:rPr>
      </w:pPr>
      <w:r w:rsidRPr="4D364DDC">
        <w:rPr>
          <w:rFonts w:ascii="Segoe UI" w:eastAsia="Segoe UI" w:hAnsi="Segoe UI" w:cs="Segoe UI"/>
          <w:color w:val="030A13"/>
          <w:sz w:val="21"/>
          <w:szCs w:val="21"/>
        </w:rPr>
        <w:t xml:space="preserve">Salaries </w:t>
      </w:r>
      <w:r w:rsidR="004A75EF">
        <w:rPr>
          <w:rFonts w:ascii="Segoe UI" w:eastAsia="Segoe UI" w:hAnsi="Segoe UI" w:cs="Segoe UI"/>
          <w:color w:val="030A13"/>
          <w:sz w:val="21"/>
          <w:szCs w:val="21"/>
        </w:rPr>
        <w:t xml:space="preserve">approved in the budget proposal at the time of application – </w:t>
      </w:r>
      <w:r w:rsidR="004A75EF" w:rsidRPr="004A75EF">
        <w:rPr>
          <w:rFonts w:ascii="Segoe UI" w:eastAsia="Segoe UI" w:hAnsi="Segoe UI" w:cs="Segoe UI"/>
          <w:i/>
          <w:color w:val="030A13"/>
          <w:sz w:val="21"/>
          <w:szCs w:val="21"/>
        </w:rPr>
        <w:t>Resident/Fellow grant funds may not be used for salaries or admin support at all</w:t>
      </w:r>
    </w:p>
    <w:p w14:paraId="70027C90" w14:textId="5BC3DEAB" w:rsidR="00FA1986" w:rsidRPr="00FA1986" w:rsidRDefault="7D41D2E3" w:rsidP="4D364DDC">
      <w:pPr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ascii="Segoe UI" w:eastAsia="Segoe UI" w:hAnsi="Segoe UI" w:cs="Segoe UI"/>
          <w:color w:val="030A13"/>
          <w:sz w:val="21"/>
          <w:szCs w:val="21"/>
        </w:rPr>
      </w:pPr>
      <w:r w:rsidRPr="4D364DDC">
        <w:rPr>
          <w:rFonts w:ascii="Segoe UI" w:eastAsia="Segoe UI" w:hAnsi="Segoe UI" w:cs="Segoe UI"/>
          <w:color w:val="030A13"/>
          <w:sz w:val="21"/>
          <w:szCs w:val="21"/>
        </w:rPr>
        <w:t>E</w:t>
      </w:r>
      <w:r w:rsidR="00FA1986" w:rsidRPr="4D364DDC">
        <w:rPr>
          <w:rFonts w:ascii="Segoe UI" w:eastAsia="Segoe UI" w:hAnsi="Segoe UI" w:cs="Segoe UI"/>
          <w:color w:val="030A13"/>
          <w:sz w:val="21"/>
          <w:szCs w:val="21"/>
        </w:rPr>
        <w:t>mployee fringe benefits</w:t>
      </w:r>
      <w:r w:rsidR="004A75EF">
        <w:rPr>
          <w:rFonts w:ascii="Segoe UI" w:eastAsia="Segoe UI" w:hAnsi="Segoe UI" w:cs="Segoe UI"/>
          <w:color w:val="030A13"/>
          <w:sz w:val="21"/>
          <w:szCs w:val="21"/>
        </w:rPr>
        <w:t xml:space="preserve"> approved in the budget proposal at the time of application </w:t>
      </w:r>
    </w:p>
    <w:p w14:paraId="6648C693" w14:textId="10007BF7" w:rsidR="004A75EF" w:rsidRPr="004A75EF" w:rsidRDefault="00FA1986" w:rsidP="00814585">
      <w:pPr>
        <w:numPr>
          <w:ilvl w:val="0"/>
          <w:numId w:val="2"/>
        </w:numPr>
        <w:shd w:val="clear" w:color="auto" w:fill="FFFFFF" w:themeFill="background1"/>
        <w:spacing w:after="150" w:line="240" w:lineRule="auto"/>
        <w:rPr>
          <w:rFonts w:ascii="Segoe UI" w:eastAsia="Segoe UI" w:hAnsi="Segoe UI" w:cs="Segoe UI"/>
          <w:color w:val="030A13"/>
          <w:sz w:val="21"/>
          <w:szCs w:val="21"/>
        </w:rPr>
      </w:pPr>
      <w:r w:rsidRPr="004A75EF">
        <w:rPr>
          <w:rFonts w:ascii="Segoe UI" w:eastAsia="Segoe UI" w:hAnsi="Segoe UI" w:cs="Segoe UI"/>
          <w:color w:val="030A13"/>
          <w:sz w:val="21"/>
          <w:szCs w:val="21"/>
        </w:rPr>
        <w:t>Materials, supplies and equipment purchased directly for use on t</w:t>
      </w:r>
      <w:r w:rsidR="3BDFEB74" w:rsidRPr="004A75EF">
        <w:rPr>
          <w:rFonts w:ascii="Segoe UI" w:eastAsia="Segoe UI" w:hAnsi="Segoe UI" w:cs="Segoe UI"/>
          <w:color w:val="030A13"/>
          <w:sz w:val="21"/>
          <w:szCs w:val="21"/>
        </w:rPr>
        <w:t>he specific grant</w:t>
      </w:r>
      <w:bookmarkStart w:id="0" w:name="_GoBack"/>
      <w:bookmarkEnd w:id="0"/>
    </w:p>
    <w:p w14:paraId="58FE7011" w14:textId="4B1D3EDA" w:rsidR="004A75EF" w:rsidRPr="00FA1986" w:rsidRDefault="004A75EF" w:rsidP="004A75EF">
      <w:pPr>
        <w:shd w:val="clear" w:color="auto" w:fill="FFFFFF" w:themeFill="background1"/>
        <w:spacing w:after="150" w:line="240" w:lineRule="auto"/>
        <w:rPr>
          <w:rFonts w:ascii="Segoe UI" w:eastAsia="Segoe UI" w:hAnsi="Segoe UI" w:cs="Segoe UI"/>
          <w:color w:val="030A13"/>
          <w:sz w:val="21"/>
          <w:szCs w:val="21"/>
        </w:rPr>
      </w:pPr>
      <w:r>
        <w:rPr>
          <w:rFonts w:ascii="Segoe UI" w:eastAsia="Segoe UI" w:hAnsi="Segoe UI" w:cs="Segoe UI"/>
          <w:color w:val="030A13"/>
          <w:sz w:val="21"/>
          <w:szCs w:val="21"/>
        </w:rPr>
        <w:t xml:space="preserve">*The PI may make a formal request to use grants funds for travel to the Annual Meeting the year of the project oral update only. </w:t>
      </w:r>
    </w:p>
    <w:p w14:paraId="6A0D0480" w14:textId="62506432" w:rsidR="00FA1986" w:rsidRDefault="00FA1986" w:rsidP="4D364DDC">
      <w:pPr>
        <w:rPr>
          <w:rFonts w:ascii="Segoe UI" w:eastAsia="Segoe UI" w:hAnsi="Segoe UI" w:cs="Segoe UI"/>
        </w:rPr>
      </w:pPr>
    </w:p>
    <w:p w14:paraId="15DACA74" w14:textId="302DA7D3" w:rsidR="7CA4CEA2" w:rsidRDefault="7CA4CEA2" w:rsidP="4D364DDC">
      <w:pPr>
        <w:rPr>
          <w:rFonts w:ascii="Segoe UI" w:eastAsia="Segoe UI" w:hAnsi="Segoe UI" w:cs="Segoe UI"/>
        </w:rPr>
      </w:pPr>
      <w:r w:rsidRPr="4D364DDC">
        <w:rPr>
          <w:rFonts w:ascii="Segoe UI" w:eastAsia="Segoe UI" w:hAnsi="Segoe UI" w:cs="Segoe UI"/>
        </w:rPr>
        <w:t xml:space="preserve">References: </w:t>
      </w:r>
    </w:p>
    <w:p w14:paraId="182CD6DC" w14:textId="536BB09D" w:rsidR="7CA4CEA2" w:rsidRDefault="7CA4CEA2" w:rsidP="4D364DDC">
      <w:pPr>
        <w:ind w:left="567" w:hanging="567"/>
        <w:rPr>
          <w:rFonts w:ascii="Segoe UI" w:eastAsia="Segoe UI" w:hAnsi="Segoe UI" w:cs="Segoe UI"/>
        </w:rPr>
      </w:pPr>
      <w:r w:rsidRPr="4D364DDC">
        <w:rPr>
          <w:rFonts w:ascii="Segoe UI" w:eastAsia="Segoe UI" w:hAnsi="Segoe UI" w:cs="Segoe UI"/>
        </w:rPr>
        <w:t xml:space="preserve">Office of the Chief Financial Officer. (2020, December 17). </w:t>
      </w:r>
      <w:r w:rsidRPr="4D364DDC">
        <w:rPr>
          <w:rFonts w:ascii="Segoe UI" w:eastAsia="Segoe UI" w:hAnsi="Segoe UI" w:cs="Segoe UI"/>
          <w:i/>
          <w:iCs/>
        </w:rPr>
        <w:t>Indirect cost overview</w:t>
      </w:r>
      <w:r w:rsidRPr="4D364DDC">
        <w:rPr>
          <w:rFonts w:ascii="Segoe UI" w:eastAsia="Segoe UI" w:hAnsi="Segoe UI" w:cs="Segoe UI"/>
        </w:rPr>
        <w:t xml:space="preserve">. U.S. Department of Education. Retrieved November 9, 2022, from </w:t>
      </w:r>
      <w:hyperlink r:id="rId5">
        <w:r w:rsidRPr="4D364DDC">
          <w:rPr>
            <w:rStyle w:val="Hyperlink"/>
            <w:rFonts w:ascii="Segoe UI" w:eastAsia="Segoe UI" w:hAnsi="Segoe UI" w:cs="Segoe UI"/>
          </w:rPr>
          <w:t>https://www2.ed.gov/about/offices/list/ocfo/intro.html</w:t>
        </w:r>
      </w:hyperlink>
    </w:p>
    <w:p w14:paraId="5BF92B0B" w14:textId="0A33C22C" w:rsidR="065EC269" w:rsidRDefault="01173C3F" w:rsidP="4D364DDC">
      <w:pPr>
        <w:ind w:left="567" w:hanging="567"/>
        <w:rPr>
          <w:rFonts w:ascii="Segoe UI" w:eastAsia="Segoe UI" w:hAnsi="Segoe UI" w:cs="Segoe UI"/>
        </w:rPr>
      </w:pPr>
      <w:r w:rsidRPr="4D364DDC">
        <w:rPr>
          <w:rFonts w:ascii="Segoe UI" w:eastAsia="Segoe UI" w:hAnsi="Segoe UI" w:cs="Segoe UI"/>
        </w:rPr>
        <w:t xml:space="preserve">U.S. Department of Health and Human Services. (2022, December). </w:t>
      </w:r>
      <w:r w:rsidRPr="4D364DDC">
        <w:rPr>
          <w:rFonts w:ascii="Segoe UI" w:eastAsia="Segoe UI" w:hAnsi="Segoe UI" w:cs="Segoe UI"/>
          <w:i/>
          <w:iCs/>
        </w:rPr>
        <w:t>7.3 direct costs and facilities and administrative costs</w:t>
      </w:r>
      <w:r w:rsidRPr="4D364DDC">
        <w:rPr>
          <w:rFonts w:ascii="Segoe UI" w:eastAsia="Segoe UI" w:hAnsi="Segoe UI" w:cs="Segoe UI"/>
        </w:rPr>
        <w:t xml:space="preserve">. National Institutes of Health. Retrieved January 9, 2023, from </w:t>
      </w:r>
      <w:hyperlink r:id="rId6">
        <w:r w:rsidRPr="4D364DDC">
          <w:rPr>
            <w:rStyle w:val="Hyperlink"/>
            <w:rFonts w:ascii="Segoe UI" w:eastAsia="Segoe UI" w:hAnsi="Segoe UI" w:cs="Segoe UI"/>
          </w:rPr>
          <w:t>https://grants.nih.gov/grants/policy/nihgps/html5/section_7/7.3_direct_costs_and_facilities_and_administrative_costs.htm</w:t>
        </w:r>
      </w:hyperlink>
    </w:p>
    <w:p w14:paraId="1994052E" w14:textId="399F5C13" w:rsidR="065EC269" w:rsidRDefault="065EC269" w:rsidP="4D364DDC">
      <w:pPr>
        <w:rPr>
          <w:rFonts w:ascii="Segoe UI" w:eastAsia="Segoe UI" w:hAnsi="Segoe UI" w:cs="Segoe UI"/>
        </w:rPr>
      </w:pPr>
    </w:p>
    <w:sectPr w:rsidR="065EC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A92D"/>
    <w:multiLevelType w:val="hybridMultilevel"/>
    <w:tmpl w:val="72F0D3E4"/>
    <w:lvl w:ilvl="0" w:tplc="5F5820BE">
      <w:start w:val="1"/>
      <w:numFmt w:val="decimal"/>
      <w:lvlText w:val="%1."/>
      <w:lvlJc w:val="left"/>
      <w:pPr>
        <w:ind w:left="720" w:hanging="360"/>
      </w:pPr>
    </w:lvl>
    <w:lvl w:ilvl="1" w:tplc="97EA67C0">
      <w:start w:val="1"/>
      <w:numFmt w:val="lowerLetter"/>
      <w:lvlText w:val="%2."/>
      <w:lvlJc w:val="left"/>
      <w:pPr>
        <w:ind w:left="1440" w:hanging="360"/>
      </w:pPr>
    </w:lvl>
    <w:lvl w:ilvl="2" w:tplc="893434AC">
      <w:start w:val="1"/>
      <w:numFmt w:val="lowerRoman"/>
      <w:lvlText w:val="%3."/>
      <w:lvlJc w:val="right"/>
      <w:pPr>
        <w:ind w:left="2160" w:hanging="180"/>
      </w:pPr>
    </w:lvl>
    <w:lvl w:ilvl="3" w:tplc="3A7859F6">
      <w:start w:val="1"/>
      <w:numFmt w:val="decimal"/>
      <w:lvlText w:val="%4."/>
      <w:lvlJc w:val="left"/>
      <w:pPr>
        <w:ind w:left="2880" w:hanging="360"/>
      </w:pPr>
    </w:lvl>
    <w:lvl w:ilvl="4" w:tplc="9192223C">
      <w:start w:val="1"/>
      <w:numFmt w:val="lowerLetter"/>
      <w:lvlText w:val="%5."/>
      <w:lvlJc w:val="left"/>
      <w:pPr>
        <w:ind w:left="3600" w:hanging="360"/>
      </w:pPr>
    </w:lvl>
    <w:lvl w:ilvl="5" w:tplc="CA18B6C4">
      <w:start w:val="1"/>
      <w:numFmt w:val="lowerRoman"/>
      <w:lvlText w:val="%6."/>
      <w:lvlJc w:val="right"/>
      <w:pPr>
        <w:ind w:left="4320" w:hanging="180"/>
      </w:pPr>
    </w:lvl>
    <w:lvl w:ilvl="6" w:tplc="177AF006">
      <w:start w:val="1"/>
      <w:numFmt w:val="decimal"/>
      <w:lvlText w:val="%7."/>
      <w:lvlJc w:val="left"/>
      <w:pPr>
        <w:ind w:left="5040" w:hanging="360"/>
      </w:pPr>
    </w:lvl>
    <w:lvl w:ilvl="7" w:tplc="CA467D06">
      <w:start w:val="1"/>
      <w:numFmt w:val="lowerLetter"/>
      <w:lvlText w:val="%8."/>
      <w:lvlJc w:val="left"/>
      <w:pPr>
        <w:ind w:left="5760" w:hanging="360"/>
      </w:pPr>
    </w:lvl>
    <w:lvl w:ilvl="8" w:tplc="DE261C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4AF"/>
    <w:multiLevelType w:val="multilevel"/>
    <w:tmpl w:val="37AA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86"/>
    <w:rsid w:val="000D1707"/>
    <w:rsid w:val="00157DFD"/>
    <w:rsid w:val="0024159C"/>
    <w:rsid w:val="004A75EF"/>
    <w:rsid w:val="004B5565"/>
    <w:rsid w:val="0054738C"/>
    <w:rsid w:val="007772C5"/>
    <w:rsid w:val="00A86CEA"/>
    <w:rsid w:val="00B969A7"/>
    <w:rsid w:val="00DD693D"/>
    <w:rsid w:val="00FA1986"/>
    <w:rsid w:val="01173C3F"/>
    <w:rsid w:val="018F2695"/>
    <w:rsid w:val="026FC204"/>
    <w:rsid w:val="02DF038A"/>
    <w:rsid w:val="030B6507"/>
    <w:rsid w:val="065EC269"/>
    <w:rsid w:val="093F4BEF"/>
    <w:rsid w:val="0BA888B3"/>
    <w:rsid w:val="0FD19B92"/>
    <w:rsid w:val="10756E11"/>
    <w:rsid w:val="16351FA5"/>
    <w:rsid w:val="1A3F036E"/>
    <w:rsid w:val="1C7E4EB1"/>
    <w:rsid w:val="1F74DA5F"/>
    <w:rsid w:val="23721673"/>
    <w:rsid w:val="247C6C41"/>
    <w:rsid w:val="24CD3555"/>
    <w:rsid w:val="2AB5C072"/>
    <w:rsid w:val="2DC9EB4C"/>
    <w:rsid w:val="31C7C353"/>
    <w:rsid w:val="371FAD1C"/>
    <w:rsid w:val="373F0C10"/>
    <w:rsid w:val="374B2F6A"/>
    <w:rsid w:val="38B3BCCF"/>
    <w:rsid w:val="3BDFEB74"/>
    <w:rsid w:val="404EE369"/>
    <w:rsid w:val="423F79A1"/>
    <w:rsid w:val="42D812A0"/>
    <w:rsid w:val="465F2E57"/>
    <w:rsid w:val="4705F66F"/>
    <w:rsid w:val="4B63F6E8"/>
    <w:rsid w:val="4D364DDC"/>
    <w:rsid w:val="4F706380"/>
    <w:rsid w:val="5184C060"/>
    <w:rsid w:val="52320853"/>
    <w:rsid w:val="5247EF84"/>
    <w:rsid w:val="55192CB2"/>
    <w:rsid w:val="58BFD820"/>
    <w:rsid w:val="59BABD55"/>
    <w:rsid w:val="5A5BA881"/>
    <w:rsid w:val="5F6076C3"/>
    <w:rsid w:val="65DE7F88"/>
    <w:rsid w:val="69FE652E"/>
    <w:rsid w:val="6C2FAEFF"/>
    <w:rsid w:val="6F2994F7"/>
    <w:rsid w:val="710BAD71"/>
    <w:rsid w:val="71D51CCC"/>
    <w:rsid w:val="75837E82"/>
    <w:rsid w:val="7A193D06"/>
    <w:rsid w:val="7CA4CEA2"/>
    <w:rsid w:val="7D41D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D45C"/>
  <w15:docId w15:val="{3DF76967-1B9F-420B-88EC-716202BF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1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9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98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A19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7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D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F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6CE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.nih.gov/grants/policy/nihgps/html5/section_7/7.3_direct_costs_and_facilities_and_administrative_costs.htm" TargetMode="External"/><Relationship Id="rId5" Type="http://schemas.openxmlformats.org/officeDocument/2006/relationships/hyperlink" Target="https://www2.ed.gov/about/offices/list/ocfo/intr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Wendelberger</dc:creator>
  <cp:keywords/>
  <dc:description/>
  <cp:lastModifiedBy>Maria Wendelberger</cp:lastModifiedBy>
  <cp:revision>7</cp:revision>
  <dcterms:created xsi:type="dcterms:W3CDTF">2022-12-09T18:31:00Z</dcterms:created>
  <dcterms:modified xsi:type="dcterms:W3CDTF">2024-07-16T16:01:00Z</dcterms:modified>
</cp:coreProperties>
</file>